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5398C" w:rsidRDefault="00BF74B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0" simplePos="0" relativeHeight="251657216" behindDoc="0" locked="0" layoutInCell="1" allowOverlap="1">
                <wp:simplePos x="0" y="0"/>
                <wp:positionH relativeFrom="page">
                  <wp:posOffset>4611370</wp:posOffset>
                </wp:positionH>
                <wp:positionV relativeFrom="paragraph">
                  <wp:posOffset>-113030</wp:posOffset>
                </wp:positionV>
                <wp:extent cx="2408555" cy="1201420"/>
                <wp:effectExtent l="1270" t="6985" r="0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1201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94"/>
                            </w:tblGrid>
                            <w:tr w:rsidR="0065398C">
                              <w:trPr>
                                <w:trHeight w:val="1509"/>
                              </w:trPr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:rsidR="0065398C" w:rsidRDefault="0065398C">
                                  <w:pPr>
                                    <w:pStyle w:val="Style10"/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Style w:val="FontStyle19"/>
                                      <w:b w:val="0"/>
                                    </w:rPr>
                                    <w:t>Приложение 4</w:t>
                                  </w:r>
                                </w:p>
                                <w:p w:rsidR="0065398C" w:rsidRDefault="0065398C">
                                  <w:pPr>
                                    <w:pStyle w:val="Style10"/>
                                    <w:widowControl/>
                                    <w:jc w:val="left"/>
                                  </w:pPr>
                                </w:p>
                                <w:p w:rsidR="0065398C" w:rsidRDefault="0065398C">
                                  <w:pPr>
                                    <w:shd w:val="clear" w:color="auto" w:fill="FFFFFF"/>
                                  </w:pPr>
                                  <w:r>
                                    <w:rPr>
                                      <w:rStyle w:val="FontStyle19"/>
                                      <w:b w:val="0"/>
                                    </w:rPr>
                                    <w:t xml:space="preserve">к Временному порядку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предоставления доступа к электронному сервису «Личный кабинет плательщика» в министерстве доходов и сборов Донецкой Народной Республики и его территориальных органах</w:t>
                                  </w:r>
                                </w:p>
                              </w:tc>
                            </w:tr>
                          </w:tbl>
                          <w:p w:rsidR="0065398C" w:rsidRDefault="006539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1pt;margin-top:-8.9pt;width:189.65pt;height:94.6pt;z-index:251657216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794"/>
                      </w:tblGrid>
                      <w:tr w:rsidR="0065398C">
                        <w:trPr>
                          <w:trHeight w:val="1509"/>
                        </w:trPr>
                        <w:tc>
                          <w:tcPr>
                            <w:tcW w:w="3794" w:type="dxa"/>
                            <w:shd w:val="clear" w:color="auto" w:fill="auto"/>
                          </w:tcPr>
                          <w:p w:rsidR="0065398C" w:rsidRDefault="0065398C">
                            <w:pPr>
                              <w:pStyle w:val="Style10"/>
                              <w:widowControl/>
                              <w:jc w:val="left"/>
                            </w:pPr>
                            <w:r>
                              <w:rPr>
                                <w:rStyle w:val="FontStyle19"/>
                                <w:b w:val="0"/>
                              </w:rPr>
                              <w:t>Приложение 4</w:t>
                            </w:r>
                          </w:p>
                          <w:p w:rsidR="0065398C" w:rsidRDefault="0065398C">
                            <w:pPr>
                              <w:pStyle w:val="Style10"/>
                              <w:widowControl/>
                              <w:jc w:val="left"/>
                            </w:pPr>
                          </w:p>
                          <w:p w:rsidR="0065398C" w:rsidRDefault="0065398C">
                            <w:pPr>
                              <w:shd w:val="clear" w:color="auto" w:fill="FFFFFF"/>
                            </w:pPr>
                            <w:r>
                              <w:rPr>
                                <w:rStyle w:val="FontStyle19"/>
                                <w:b w:val="0"/>
                              </w:rPr>
                              <w:t xml:space="preserve">к Временному порядку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предоставления доступа к электронному сервису «Личный кабинет плательщика» в министерстве доходов и сборов Донецкой Народной Республики и его территориальных органах</w:t>
                            </w:r>
                          </w:p>
                        </w:tc>
                      </w:tr>
                    </w:tbl>
                    <w:p w:rsidR="0065398C" w:rsidRDefault="0065398C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5398C" w:rsidRDefault="0065398C">
      <w:pPr>
        <w:jc w:val="both"/>
      </w:pPr>
    </w:p>
    <w:p w:rsidR="0065398C" w:rsidRDefault="0065398C">
      <w:pPr>
        <w:jc w:val="both"/>
      </w:pPr>
    </w:p>
    <w:p w:rsidR="0065398C" w:rsidRDefault="0065398C">
      <w:pPr>
        <w:jc w:val="both"/>
      </w:pPr>
    </w:p>
    <w:p w:rsidR="0065398C" w:rsidRDefault="0065398C">
      <w:pPr>
        <w:jc w:val="both"/>
      </w:pPr>
    </w:p>
    <w:p w:rsidR="0065398C" w:rsidRDefault="00BF74B0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3244850</wp:posOffset>
                </wp:positionH>
                <wp:positionV relativeFrom="paragraph">
                  <wp:posOffset>153670</wp:posOffset>
                </wp:positionV>
                <wp:extent cx="1336675" cy="1207135"/>
                <wp:effectExtent l="6350" t="635" r="0" b="19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1207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BD8" w:rsidRDefault="00237BD8"/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06"/>
                            </w:tblGrid>
                            <w:tr w:rsidR="0065398C">
                              <w:trPr>
                                <w:trHeight w:val="1509"/>
                              </w:trPr>
                              <w:tc>
                                <w:tcPr>
                                  <w:tcW w:w="2106" w:type="dxa"/>
                                  <w:shd w:val="clear" w:color="auto" w:fill="auto"/>
                                </w:tcPr>
                                <w:p w:rsidR="00237BD8" w:rsidRDefault="00237BD8">
                                  <w:pPr>
                                    <w:pStyle w:val="Style10"/>
                                  </w:pPr>
                                </w:p>
                                <w:p w:rsidR="0065398C" w:rsidRDefault="00237BD8">
                                  <w:pPr>
                                    <w:pStyle w:val="Style10"/>
                                  </w:pPr>
                                  <w:r>
                                    <w:t xml:space="preserve">   </w:t>
                                  </w:r>
                                  <w:r w:rsidR="00BF74B0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990600" cy="847725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06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65398C" w:rsidRDefault="006539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5.5pt;margin-top:12.1pt;width:105.25pt;height:95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" stroked="f">
                <v:fill opacity="0"/>
                <v:textbox inset="0,0,0,0">
                  <w:txbxContent>
                    <w:p w:rsidR="00237BD8" w:rsidRDefault="00237BD8"/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06"/>
                      </w:tblGrid>
                      <w:tr w:rsidR="0065398C">
                        <w:trPr>
                          <w:trHeight w:val="1509"/>
                        </w:trPr>
                        <w:tc>
                          <w:tcPr>
                            <w:tcW w:w="2106" w:type="dxa"/>
                            <w:shd w:val="clear" w:color="auto" w:fill="auto"/>
                          </w:tcPr>
                          <w:p w:rsidR="00237BD8" w:rsidRDefault="00237BD8">
                            <w:pPr>
                              <w:pStyle w:val="Style10"/>
                            </w:pPr>
                          </w:p>
                          <w:p w:rsidR="0065398C" w:rsidRDefault="00237BD8">
                            <w:pPr>
                              <w:pStyle w:val="Style10"/>
                            </w:pPr>
                            <w:r>
                              <w:t xml:space="preserve">   </w:t>
                            </w:r>
                            <w:r w:rsidR="00BF74B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990600" cy="84772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65398C" w:rsidRDefault="0065398C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5398C" w:rsidRDefault="0065398C">
      <w:pPr>
        <w:ind w:left="-170"/>
        <w:jc w:val="both"/>
      </w:pPr>
    </w:p>
    <w:p w:rsidR="0065398C" w:rsidRDefault="0065398C">
      <w:pPr>
        <w:jc w:val="both"/>
      </w:pPr>
    </w:p>
    <w:p w:rsidR="0065398C" w:rsidRDefault="0065398C">
      <w:pPr>
        <w:jc w:val="both"/>
      </w:pPr>
    </w:p>
    <w:p w:rsidR="0065398C" w:rsidRDefault="0065398C"/>
    <w:p w:rsidR="0065398C" w:rsidRDefault="0065398C">
      <w:pPr>
        <w:jc w:val="both"/>
      </w:pPr>
    </w:p>
    <w:p w:rsidR="0065398C" w:rsidRDefault="0065398C" w:rsidP="00237BD8">
      <w:pPr>
        <w:shd w:val="clear" w:color="auto" w:fill="FFFFFF"/>
      </w:pPr>
    </w:p>
    <w:p w:rsidR="0065398C" w:rsidRDefault="0065398C">
      <w:pPr>
        <w:pStyle w:val="Style2"/>
        <w:widowControl/>
        <w:spacing w:line="240" w:lineRule="auto"/>
      </w:pPr>
    </w:p>
    <w:p w:rsidR="0065398C" w:rsidRDefault="0065398C">
      <w:pPr>
        <w:pStyle w:val="Style2"/>
        <w:widowControl/>
        <w:spacing w:line="240" w:lineRule="auto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Обязательства </w:t>
      </w:r>
    </w:p>
    <w:p w:rsidR="0065398C" w:rsidRDefault="0065398C">
      <w:pPr>
        <w:pStyle w:val="Style2"/>
        <w:widowControl/>
        <w:spacing w:line="240" w:lineRule="auto"/>
        <w:rPr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субъекта хозяйствования по выполнению правил безопасной работы при использовании электронного сервиса «Личный кабинет плательщика» </w:t>
      </w:r>
    </w:p>
    <w:p w:rsidR="0065398C" w:rsidRDefault="0065398C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65398C" w:rsidRDefault="0065398C">
      <w:pPr>
        <w:pStyle w:val="Style3"/>
        <w:widowControl/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 Настоящим подтверждаю, что при получении ключа для обеспечения безопасной работы в системе «Личный кабинет плательщика» Министерства доходов и сборов Донецкой Народной Республики и его территориальных органах, и при его применении мною будут соблюдаться следующие организационные меры:</w:t>
      </w:r>
    </w:p>
    <w:p w:rsidR="0065398C" w:rsidRDefault="0065398C">
      <w:pPr>
        <w:pStyle w:val="Style6"/>
        <w:widowControl/>
        <w:tabs>
          <w:tab w:val="left" w:pos="715"/>
        </w:tabs>
        <w:spacing w:line="240" w:lineRule="auto"/>
        <w:ind w:left="720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обязательная смена пароля в случаях, если он стал известен постороннему лицу или была возможность ознакомления с ним посторонних лиц;</w:t>
      </w:r>
    </w:p>
    <w:p w:rsidR="0065398C" w:rsidRDefault="0065398C">
      <w:pPr>
        <w:pStyle w:val="Style6"/>
        <w:widowControl/>
        <w:tabs>
          <w:tab w:val="left" w:pos="715"/>
        </w:tabs>
        <w:spacing w:line="240" w:lineRule="auto"/>
        <w:ind w:left="720" w:firstLine="0"/>
      </w:pPr>
      <w:r>
        <w:rPr>
          <w:rStyle w:val="FontStyle13"/>
          <w:sz w:val="28"/>
          <w:szCs w:val="28"/>
        </w:rPr>
        <w:t xml:space="preserve">- изменение срок действия идентификатора, пароля и персонального ключа пользователя осуществляются один раз в 12 месяцев </w:t>
      </w:r>
      <w:r>
        <w:rPr>
          <w:rStyle w:val="FontStyle13"/>
          <w:iCs/>
          <w:sz w:val="28"/>
          <w:szCs w:val="28"/>
        </w:rPr>
        <w:t>или при смене ответственного лица на предприятии</w:t>
      </w:r>
      <w:r>
        <w:rPr>
          <w:rStyle w:val="FontStyle13"/>
          <w:sz w:val="28"/>
          <w:szCs w:val="28"/>
        </w:rPr>
        <w:t>.</w:t>
      </w:r>
    </w:p>
    <w:p w:rsidR="0065398C" w:rsidRDefault="0065398C">
      <w:pPr>
        <w:pStyle w:val="Style5"/>
        <w:widowControl/>
        <w:tabs>
          <w:tab w:val="left" w:pos="1416"/>
        </w:tabs>
        <w:spacing w:line="240" w:lineRule="auto"/>
        <w:ind w:left="720" w:firstLine="0"/>
        <w:jc w:val="both"/>
      </w:pPr>
    </w:p>
    <w:p w:rsidR="0065398C" w:rsidRDefault="00F17793" w:rsidP="00F17793">
      <w:pPr>
        <w:pStyle w:val="Style6"/>
        <w:widowControl/>
        <w:tabs>
          <w:tab w:val="left" w:pos="806"/>
        </w:tabs>
        <w:spacing w:line="240" w:lineRule="auto"/>
        <w:ind w:firstLine="0"/>
        <w:rPr>
          <w:rStyle w:val="FontStyle13"/>
          <w:sz w:val="28"/>
          <w:szCs w:val="28"/>
        </w:rPr>
      </w:pPr>
      <w:r w:rsidRPr="00F17793">
        <w:rPr>
          <w:rStyle w:val="FontStyle13"/>
          <w:sz w:val="28"/>
          <w:szCs w:val="28"/>
        </w:rPr>
        <w:t xml:space="preserve">        </w:t>
      </w:r>
      <w:r w:rsidR="0065398C">
        <w:rPr>
          <w:rStyle w:val="FontStyle13"/>
          <w:sz w:val="28"/>
          <w:szCs w:val="28"/>
        </w:rPr>
        <w:t>2.Исключение доступа посторонних лиц к носителям ключевой информации (флеш-накопитель и т.д.):</w:t>
      </w:r>
    </w:p>
    <w:p w:rsidR="0065398C" w:rsidRDefault="0065398C">
      <w:pPr>
        <w:pStyle w:val="Style6"/>
        <w:widowControl/>
        <w:numPr>
          <w:ilvl w:val="0"/>
          <w:numId w:val="5"/>
        </w:numPr>
        <w:tabs>
          <w:tab w:val="clear" w:pos="708"/>
          <w:tab w:val="left" w:pos="701"/>
        </w:tabs>
        <w:spacing w:line="240" w:lineRule="auto"/>
        <w:ind w:firstLine="57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хранение носителя ключевой информации отдельно от пароля доступа в недоступном для окружающих месте;</w:t>
      </w:r>
    </w:p>
    <w:p w:rsidR="0065398C" w:rsidRDefault="0065398C">
      <w:pPr>
        <w:pStyle w:val="Style6"/>
        <w:widowControl/>
        <w:numPr>
          <w:ilvl w:val="0"/>
          <w:numId w:val="5"/>
        </w:numPr>
        <w:tabs>
          <w:tab w:val="clear" w:pos="708"/>
          <w:tab w:val="left" w:pos="701"/>
        </w:tabs>
        <w:spacing w:line="240" w:lineRule="auto"/>
        <w:ind w:firstLine="57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извлечение из устройства носителя ключевой информации по завершении работы в системе «Личный кабинет плательщика» или на время перерыва в работе;</w:t>
      </w:r>
    </w:p>
    <w:p w:rsidR="0065398C" w:rsidRDefault="0065398C">
      <w:pPr>
        <w:pStyle w:val="Style6"/>
        <w:widowControl/>
        <w:numPr>
          <w:ilvl w:val="0"/>
          <w:numId w:val="5"/>
        </w:numPr>
        <w:tabs>
          <w:tab w:val="clear" w:pos="708"/>
          <w:tab w:val="left" w:pos="701"/>
        </w:tabs>
        <w:spacing w:line="240" w:lineRule="auto"/>
        <w:ind w:firstLine="57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использование носителя ключевой информации только по его функциональному предназначению;</w:t>
      </w:r>
    </w:p>
    <w:p w:rsidR="0065398C" w:rsidRDefault="0065398C">
      <w:pPr>
        <w:pStyle w:val="Style6"/>
        <w:widowControl/>
        <w:numPr>
          <w:ilvl w:val="0"/>
          <w:numId w:val="5"/>
        </w:numPr>
        <w:tabs>
          <w:tab w:val="clear" w:pos="708"/>
          <w:tab w:val="left" w:pos="706"/>
        </w:tabs>
        <w:spacing w:line="240" w:lineRule="auto"/>
        <w:ind w:left="57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недопущение копирования или передачи ключа доступа третьему лицу;</w:t>
      </w:r>
    </w:p>
    <w:p w:rsidR="0065398C" w:rsidRDefault="0065398C">
      <w:pPr>
        <w:pStyle w:val="Style6"/>
        <w:widowControl/>
        <w:numPr>
          <w:ilvl w:val="0"/>
          <w:numId w:val="5"/>
        </w:numPr>
        <w:tabs>
          <w:tab w:val="clear" w:pos="708"/>
          <w:tab w:val="left" w:pos="709"/>
        </w:tabs>
        <w:spacing w:line="240" w:lineRule="auto"/>
        <w:ind w:firstLine="576"/>
      </w:pPr>
      <w:r>
        <w:rPr>
          <w:rStyle w:val="FontStyle13"/>
          <w:sz w:val="28"/>
          <w:szCs w:val="28"/>
        </w:rPr>
        <w:t xml:space="preserve"> незамедлительное информирование должностных лиц территориального органа доходов и сборов Донецкой Народной Республики при смене ответственного лица, получившего ключ доступа и осуществляющего подпись электронных документов, в случае утраты носителя ключевой информации, а также при подозрении на компрометацию ключа доступа для его блокировки.</w:t>
      </w:r>
    </w:p>
    <w:p w:rsidR="0065398C" w:rsidRDefault="0065398C">
      <w:pPr>
        <w:pStyle w:val="Style6"/>
        <w:widowControl/>
        <w:tabs>
          <w:tab w:val="left" w:pos="709"/>
        </w:tabs>
        <w:spacing w:line="240" w:lineRule="auto"/>
        <w:ind w:firstLine="0"/>
      </w:pPr>
    </w:p>
    <w:p w:rsidR="0065398C" w:rsidRDefault="0065398C">
      <w:pPr>
        <w:pStyle w:val="Style6"/>
        <w:widowControl/>
        <w:tabs>
          <w:tab w:val="left" w:pos="806"/>
        </w:tabs>
        <w:spacing w:line="240" w:lineRule="auto"/>
        <w:ind w:firstLine="62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3.Ограничение доступа к рабочим местам, с которых осуществляется работа с электронным сервисом «Личный кабинет плательщика» (далее - рабочие места системы «Личный кабинет плательщика»):</w:t>
      </w:r>
    </w:p>
    <w:p w:rsidR="0065398C" w:rsidRDefault="0065398C">
      <w:pPr>
        <w:pStyle w:val="Style6"/>
        <w:widowControl/>
        <w:numPr>
          <w:ilvl w:val="0"/>
          <w:numId w:val="6"/>
        </w:numPr>
        <w:tabs>
          <w:tab w:val="left" w:pos="792"/>
        </w:tabs>
        <w:spacing w:line="240" w:lineRule="auto"/>
        <w:ind w:firstLine="57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предоставление права доступа лицам, непосредственно осуществляющим работу в системе «Личный кабинет плательщика»;</w:t>
      </w:r>
    </w:p>
    <w:p w:rsidR="0065398C" w:rsidRDefault="0065398C">
      <w:pPr>
        <w:pStyle w:val="Style6"/>
        <w:widowControl/>
        <w:numPr>
          <w:ilvl w:val="0"/>
          <w:numId w:val="7"/>
        </w:numPr>
        <w:tabs>
          <w:tab w:val="left" w:pos="888"/>
        </w:tabs>
        <w:spacing w:line="240" w:lineRule="auto"/>
        <w:ind w:firstLine="571"/>
      </w:pPr>
      <w:r>
        <w:rPr>
          <w:rStyle w:val="FontStyle13"/>
          <w:sz w:val="28"/>
          <w:szCs w:val="28"/>
        </w:rPr>
        <w:t xml:space="preserve">блокировка средствами операционной системы рабочих мест системы «Личный кабинет плательщика» при кратковременном отсутствии пользователя рабочего места. </w:t>
      </w:r>
    </w:p>
    <w:p w:rsidR="0065398C" w:rsidRDefault="0065398C">
      <w:pPr>
        <w:pStyle w:val="Style6"/>
        <w:widowControl/>
        <w:tabs>
          <w:tab w:val="left" w:pos="888"/>
        </w:tabs>
        <w:spacing w:line="240" w:lineRule="auto"/>
        <w:ind w:firstLine="0"/>
      </w:pPr>
    </w:p>
    <w:p w:rsidR="0065398C" w:rsidRDefault="0065398C">
      <w:pPr>
        <w:pStyle w:val="Style6"/>
        <w:widowControl/>
        <w:tabs>
          <w:tab w:val="left" w:pos="806"/>
        </w:tabs>
        <w:spacing w:line="240" w:lineRule="auto"/>
        <w:ind w:firstLine="39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4. Настройка "доверенной среды" и исключение несанкционированного изменения программного обеспечения на рабочих местах системы «Личный кабинет плательщика»:</w:t>
      </w:r>
    </w:p>
    <w:p w:rsidR="0065398C" w:rsidRDefault="0065398C">
      <w:pPr>
        <w:pStyle w:val="Style6"/>
        <w:widowControl/>
        <w:numPr>
          <w:ilvl w:val="0"/>
          <w:numId w:val="4"/>
        </w:numPr>
        <w:tabs>
          <w:tab w:val="left" w:pos="715"/>
        </w:tabs>
        <w:spacing w:line="240" w:lineRule="auto"/>
        <w:ind w:left="57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использование только лицензионного программного обеспечения;</w:t>
      </w:r>
    </w:p>
    <w:p w:rsidR="0065398C" w:rsidRDefault="0065398C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установка всех обновлений системы безопасности, рекомендуемых производителем операционной системы, установленной на компьютере;</w:t>
      </w:r>
    </w:p>
    <w:p w:rsidR="0065398C" w:rsidRDefault="0065398C">
      <w:pPr>
        <w:pStyle w:val="Style6"/>
        <w:widowControl/>
        <w:numPr>
          <w:ilvl w:val="0"/>
          <w:numId w:val="4"/>
        </w:numPr>
        <w:tabs>
          <w:tab w:val="left" w:pos="715"/>
        </w:tabs>
        <w:spacing w:line="240" w:lineRule="auto"/>
        <w:ind w:left="57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отключение учетной записи для гостевого входа (Guest);</w:t>
      </w:r>
    </w:p>
    <w:p w:rsidR="0065398C" w:rsidRDefault="0065398C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отключение режима отображения окна всех зарегистрированных на рабочем месте системы «Личный кабинет плательщика» пользователей и быстрого переключения пользователей (ОС Windows ХР);</w:t>
      </w:r>
    </w:p>
    <w:p w:rsidR="0065398C" w:rsidRDefault="0065398C">
      <w:pPr>
        <w:pStyle w:val="Style6"/>
        <w:widowControl/>
        <w:numPr>
          <w:ilvl w:val="0"/>
          <w:numId w:val="9"/>
        </w:numPr>
        <w:tabs>
          <w:tab w:val="left" w:pos="912"/>
        </w:tabs>
        <w:spacing w:line="240" w:lineRule="auto"/>
        <w:ind w:right="19" w:firstLine="57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использование паролей, удовлетворяющих требованиям п. 1 настоящих обязательств для всех учетных записей в операционной системе; </w:t>
      </w:r>
    </w:p>
    <w:p w:rsidR="0065398C" w:rsidRDefault="0065398C">
      <w:pPr>
        <w:pStyle w:val="Style6"/>
        <w:widowControl/>
        <w:tabs>
          <w:tab w:val="left" w:pos="567"/>
        </w:tabs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- использование и своевременное обновление специализированного ПО для защиты информации — антивирусного ПО с регулярно обновляемыми базами, персональных межсетевых экранов, средств защиты от несанкционированного доступа и других технических средств защиты из внешней или локальной сети;</w:t>
      </w:r>
    </w:p>
    <w:p w:rsidR="0065398C" w:rsidRDefault="0065398C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40" w:lineRule="auto"/>
      </w:pPr>
      <w:r>
        <w:rPr>
          <w:rStyle w:val="FontStyle13"/>
          <w:sz w:val="28"/>
          <w:szCs w:val="28"/>
        </w:rPr>
        <w:t>немедленное прекращение работы в системе «Личный кабинет плательщика» и сообщение в территориальный орган доходов и сборов Донецкой Народной Республики при подозрении на заражение компьютера вирусом, а также в случае обнаружения незарегистрированных программ или нарушения целостности операционной системы.</w:t>
      </w:r>
    </w:p>
    <w:p w:rsidR="0065398C" w:rsidRDefault="0065398C">
      <w:pPr>
        <w:pStyle w:val="Style6"/>
        <w:widowControl/>
        <w:tabs>
          <w:tab w:val="left" w:pos="706"/>
        </w:tabs>
        <w:spacing w:line="240" w:lineRule="auto"/>
        <w:ind w:firstLine="0"/>
      </w:pPr>
    </w:p>
    <w:p w:rsidR="0065398C" w:rsidRDefault="0065398C">
      <w:pPr>
        <w:pStyle w:val="Style3"/>
        <w:widowControl/>
        <w:spacing w:line="240" w:lineRule="auto"/>
        <w:ind w:right="14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 Соблюдение правил безопасной работы в сети Интернет на рабочих местах системы «Личный кабинет плательщика»:</w:t>
      </w:r>
    </w:p>
    <w:p w:rsidR="0065398C" w:rsidRDefault="0065398C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40" w:lineRule="auto"/>
        <w:ind w:right="5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недопущение открытия сайта системы «Личный кабинет плательщика» по ссылкам (особенно баннерным или полученным через почту);</w:t>
      </w:r>
    </w:p>
    <w:p w:rsidR="0065398C" w:rsidRDefault="0065398C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40" w:lineRule="auto"/>
        <w:ind w:right="5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недопущение предоставления ответа на подозрительные письма с просьбой выслать ключ доступа, пароль и другие конфиденциальные данные системы «Личный кабинет плательщика»;</w:t>
      </w:r>
    </w:p>
    <w:p w:rsidR="0065398C" w:rsidRDefault="0065398C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40" w:lineRule="auto"/>
        <w:ind w:right="5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недопущение установки и сохранения подозрительных файлов, полученных из ненадежных источников, скачанных с неизвестных web-сайтов, присланных по электронной почте, полученных на форумах;</w:t>
      </w:r>
    </w:p>
    <w:p w:rsidR="0065398C" w:rsidRDefault="0065398C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40" w:lineRule="auto"/>
        <w:ind w:right="5"/>
      </w:pPr>
      <w:r>
        <w:rPr>
          <w:rStyle w:val="FontStyle13"/>
          <w:sz w:val="28"/>
          <w:szCs w:val="28"/>
        </w:rPr>
        <w:t>недопущение запуска на компьютере программ, полученных из не вызывающих доверия источников.</w:t>
      </w:r>
    </w:p>
    <w:p w:rsidR="0065398C" w:rsidRDefault="0065398C">
      <w:pPr>
        <w:pStyle w:val="Style3"/>
        <w:widowControl/>
        <w:spacing w:line="240" w:lineRule="auto"/>
        <w:ind w:right="10" w:firstLine="566"/>
        <w:jc w:val="both"/>
      </w:pPr>
    </w:p>
    <w:p w:rsidR="0065398C" w:rsidRDefault="0065398C">
      <w:pPr>
        <w:pStyle w:val="Style2"/>
        <w:widowControl/>
        <w:spacing w:line="240" w:lineRule="auto"/>
        <w:ind w:firstLine="566"/>
        <w:jc w:val="both"/>
      </w:pPr>
      <w:r>
        <w:rPr>
          <w:rStyle w:val="FontStyle13"/>
          <w:sz w:val="28"/>
          <w:szCs w:val="28"/>
        </w:rPr>
        <w:lastRenderedPageBreak/>
        <w:t xml:space="preserve">В случае нарушения правил безопасной работы при использовании электронного сервиса «Личный кабинет плательщика» субъектом хозяйствования, орган доходов и сборов Донецкой Народной Республики не несет ответственности за безопасность, конфиденциальность, достоверность, целостность информации, полученной от субъекта хозяйствования, недопущение несанкционированного доступа к указанной информации посторонних лиц. При этом орган доходов и сборов Донецкой Народной Республики оставляет за собой право на временную блокировку учетной записи с последующим информированием на </w:t>
      </w:r>
      <w:r>
        <w:rPr>
          <w:sz w:val="28"/>
          <w:szCs w:val="28"/>
        </w:rPr>
        <w:t>электронный адрес (e-mail) пользователя о причинах.</w:t>
      </w:r>
    </w:p>
    <w:p w:rsidR="0065398C" w:rsidRDefault="0065398C">
      <w:pPr>
        <w:pStyle w:val="Style3"/>
        <w:widowControl/>
        <w:spacing w:line="240" w:lineRule="auto"/>
        <w:ind w:right="10" w:firstLine="566"/>
        <w:jc w:val="both"/>
      </w:pPr>
    </w:p>
    <w:p w:rsidR="0065398C" w:rsidRDefault="0065398C">
      <w:pPr>
        <w:pStyle w:val="Style3"/>
        <w:widowControl/>
        <w:spacing w:line="240" w:lineRule="auto"/>
        <w:ind w:right="10" w:firstLine="566"/>
        <w:jc w:val="both"/>
      </w:pPr>
      <w:r>
        <w:rPr>
          <w:rStyle w:val="FontStyle13"/>
          <w:sz w:val="28"/>
          <w:szCs w:val="28"/>
        </w:rPr>
        <w:t>Подтверждаю, что мне известны последствия несоблюдения вышеуказанных мер безопасности, и я полностью беру на себя ответственность за такие последствия в случае нарушения мною правил безопасности.</w:t>
      </w:r>
    </w:p>
    <w:p w:rsidR="0065398C" w:rsidRDefault="0065398C"/>
    <w:p w:rsidR="0065398C" w:rsidRDefault="0065398C"/>
    <w:p w:rsidR="0065398C" w:rsidRDefault="0065398C">
      <w:pPr>
        <w:pStyle w:val="Style3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5398C" w:rsidRDefault="0065398C">
      <w:pPr>
        <w:pStyle w:val="Style3"/>
        <w:widowControl/>
        <w:tabs>
          <w:tab w:val="left" w:leader="underscore" w:pos="6475"/>
        </w:tabs>
        <w:spacing w:line="240" w:lineRule="auto"/>
        <w:ind w:firstLine="0"/>
        <w:jc w:val="center"/>
      </w:pPr>
      <w:r>
        <w:rPr>
          <w:rStyle w:val="FontStyle13"/>
          <w:sz w:val="28"/>
          <w:szCs w:val="28"/>
        </w:rPr>
        <w:t>Должность руководителя (ответственного лица) организации (полностью)</w:t>
      </w:r>
    </w:p>
    <w:p w:rsidR="0065398C" w:rsidRDefault="0065398C">
      <w:pPr>
        <w:pStyle w:val="Style1"/>
        <w:widowControl/>
        <w:tabs>
          <w:tab w:val="left" w:pos="7195"/>
        </w:tabs>
      </w:pPr>
    </w:p>
    <w:p w:rsidR="0065398C" w:rsidRDefault="0065398C">
      <w:pPr>
        <w:pStyle w:val="Style1"/>
        <w:widowControl/>
        <w:tabs>
          <w:tab w:val="left" w:pos="4536"/>
        </w:tabs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__________________                ___________________________________________</w:t>
      </w:r>
    </w:p>
    <w:p w:rsidR="0065398C" w:rsidRDefault="0065398C">
      <w:pPr>
        <w:pStyle w:val="Style1"/>
        <w:widowControl/>
        <w:tabs>
          <w:tab w:val="left" w:pos="142"/>
        </w:tabs>
      </w:pP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  <w:t>Подпись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  <w:t>Фамилия Имя Отчество.</w:t>
      </w:r>
    </w:p>
    <w:p w:rsidR="0065398C" w:rsidRDefault="0065398C">
      <w:pPr>
        <w:pStyle w:val="Style2"/>
        <w:widowControl/>
        <w:spacing w:line="240" w:lineRule="auto"/>
        <w:ind w:firstLine="720"/>
        <w:jc w:val="left"/>
      </w:pPr>
    </w:p>
    <w:p w:rsidR="0065398C" w:rsidRDefault="0065398C">
      <w:pPr>
        <w:pStyle w:val="Style2"/>
        <w:widowControl/>
        <w:spacing w:line="240" w:lineRule="auto"/>
        <w:ind w:firstLine="720"/>
        <w:jc w:val="left"/>
      </w:pPr>
      <w:r>
        <w:rPr>
          <w:rStyle w:val="FontStyle13"/>
          <w:sz w:val="28"/>
          <w:szCs w:val="28"/>
        </w:rPr>
        <w:t>М.П.</w:t>
      </w:r>
    </w:p>
    <w:p w:rsidR="0065398C" w:rsidRDefault="0065398C">
      <w:pPr>
        <w:pStyle w:val="Style3"/>
        <w:widowControl/>
        <w:spacing w:line="240" w:lineRule="auto"/>
        <w:ind w:firstLine="0"/>
      </w:pPr>
    </w:p>
    <w:p w:rsidR="0065398C" w:rsidRDefault="0065398C">
      <w:pPr>
        <w:pStyle w:val="Style3"/>
        <w:widowControl/>
        <w:tabs>
          <w:tab w:val="left" w:leader="underscore" w:pos="1445"/>
          <w:tab w:val="left" w:leader="underscore" w:pos="2688"/>
          <w:tab w:val="left" w:leader="underscore" w:pos="3374"/>
        </w:tabs>
        <w:spacing w:line="240" w:lineRule="auto"/>
        <w:ind w:firstLine="0"/>
        <w:rPr>
          <w:sz w:val="22"/>
          <w:szCs w:val="22"/>
        </w:rPr>
      </w:pPr>
    </w:p>
    <w:p w:rsidR="0065398C" w:rsidRDefault="0065398C">
      <w:pPr>
        <w:pStyle w:val="Style3"/>
        <w:widowControl/>
        <w:tabs>
          <w:tab w:val="left" w:leader="underscore" w:pos="1445"/>
          <w:tab w:val="left" w:leader="underscore" w:pos="2688"/>
          <w:tab w:val="left" w:leader="underscore" w:pos="3374"/>
        </w:tabs>
        <w:spacing w:line="240" w:lineRule="auto"/>
        <w:ind w:firstLine="0"/>
      </w:pPr>
      <w:r>
        <w:rPr>
          <w:rStyle w:val="FontStyle13"/>
          <w:sz w:val="28"/>
          <w:szCs w:val="28"/>
        </w:rPr>
        <w:t>Дата «</w:t>
      </w:r>
      <w:r>
        <w:rPr>
          <w:rStyle w:val="FontStyle13"/>
          <w:sz w:val="28"/>
          <w:szCs w:val="28"/>
        </w:rPr>
        <w:tab/>
        <w:t>»</w:t>
      </w:r>
      <w:r>
        <w:rPr>
          <w:rStyle w:val="FontStyle13"/>
          <w:sz w:val="28"/>
          <w:szCs w:val="28"/>
        </w:rPr>
        <w:tab/>
        <w:t>20</w:t>
      </w:r>
      <w:r>
        <w:rPr>
          <w:rStyle w:val="FontStyle13"/>
          <w:sz w:val="28"/>
          <w:szCs w:val="28"/>
        </w:rPr>
        <w:tab/>
        <w:t>г.</w:t>
      </w:r>
    </w:p>
    <w:p w:rsidR="0065398C" w:rsidRPr="007E1BE4" w:rsidRDefault="005633E7">
      <w:pPr>
        <w:rPr>
          <w:rFonts w:ascii="HelveticaNeueCyr" w:hAnsi="HelveticaNeueCyr"/>
          <w:sz w:val="24"/>
          <w:szCs w:val="24"/>
        </w:rPr>
      </w:pPr>
      <w:r>
        <w:br w:type="page"/>
      </w:r>
      <w:r w:rsidRPr="007E1BE4">
        <w:rPr>
          <w:rFonts w:ascii="HelveticaNeueCyr" w:hAnsi="HelveticaNeueCyr"/>
          <w:sz w:val="24"/>
          <w:szCs w:val="24"/>
        </w:rPr>
        <w:lastRenderedPageBreak/>
        <w:t xml:space="preserve">Документ скачан с сайта Юридической компании «Воробьёв и партнёры» город Донецк, ДНР. </w:t>
      </w:r>
    </w:p>
    <w:p w:rsidR="007E1BE4" w:rsidRPr="007E1BE4" w:rsidRDefault="005633E7">
      <w:pPr>
        <w:rPr>
          <w:rFonts w:ascii="HelveticaNeueCyr" w:hAnsi="HelveticaNeueCyr"/>
          <w:sz w:val="24"/>
          <w:szCs w:val="24"/>
        </w:rPr>
      </w:pPr>
      <w:r w:rsidRPr="007E1BE4">
        <w:rPr>
          <w:rFonts w:ascii="HelveticaNeueCyr" w:hAnsi="HelveticaNeueCyr"/>
          <w:sz w:val="24"/>
          <w:szCs w:val="24"/>
        </w:rPr>
        <w:t xml:space="preserve">Представление интересов предприятий </w:t>
      </w:r>
      <w:r w:rsidR="00933A06" w:rsidRPr="007E1BE4">
        <w:rPr>
          <w:rFonts w:ascii="HelveticaNeueCyr" w:hAnsi="HelveticaNeueCyr"/>
          <w:sz w:val="24"/>
          <w:szCs w:val="24"/>
        </w:rPr>
        <w:t xml:space="preserve">(ООО и ФЛП) </w:t>
      </w:r>
      <w:r w:rsidRPr="007E1BE4">
        <w:rPr>
          <w:rFonts w:ascii="HelveticaNeueCyr" w:hAnsi="HelveticaNeueCyr"/>
          <w:sz w:val="24"/>
          <w:szCs w:val="24"/>
        </w:rPr>
        <w:t>в арбит</w:t>
      </w:r>
      <w:r w:rsidR="00933A06" w:rsidRPr="007E1BE4">
        <w:rPr>
          <w:rFonts w:ascii="HelveticaNeueCyr" w:hAnsi="HelveticaNeueCyr"/>
          <w:sz w:val="24"/>
          <w:szCs w:val="24"/>
        </w:rPr>
        <w:t>ражном суде ДНР, консультации по налогообложению, бухгалтерские услуги, проверка ведения налогового и бухгалтерского учёта на предприятии</w:t>
      </w:r>
      <w:r w:rsidR="00517F7C" w:rsidRPr="007E1BE4">
        <w:rPr>
          <w:rFonts w:ascii="HelveticaNeueCyr" w:hAnsi="HelveticaNeueCyr"/>
          <w:sz w:val="24"/>
          <w:szCs w:val="24"/>
        </w:rPr>
        <w:t xml:space="preserve">. </w:t>
      </w:r>
    </w:p>
    <w:p w:rsidR="007E1BE4" w:rsidRPr="007E1BE4" w:rsidRDefault="007E1BE4">
      <w:pPr>
        <w:rPr>
          <w:rFonts w:ascii="HelveticaNeueCyr" w:hAnsi="HelveticaNeueCyr"/>
          <w:sz w:val="24"/>
          <w:szCs w:val="24"/>
        </w:rPr>
      </w:pPr>
    </w:p>
    <w:p w:rsidR="007E1BE4" w:rsidRPr="007E1BE4" w:rsidRDefault="007E1BE4">
      <w:pPr>
        <w:rPr>
          <w:rFonts w:ascii="HelveticaNeueCyr" w:hAnsi="HelveticaNeueCyr"/>
          <w:sz w:val="24"/>
          <w:szCs w:val="24"/>
        </w:rPr>
      </w:pPr>
      <w:r w:rsidRPr="007E1BE4">
        <w:rPr>
          <w:rFonts w:ascii="HelveticaNeueCyr" w:hAnsi="HelveticaNeueCyr"/>
          <w:sz w:val="24"/>
          <w:szCs w:val="24"/>
        </w:rPr>
        <w:t xml:space="preserve">Юридическая компания «Воробьёв и партнёры» город Донецк, площадь Коммунаров, дом 1, офис 5, 3 этаж, ТЦ Юзовский. </w:t>
      </w:r>
    </w:p>
    <w:p w:rsidR="007E1BE4" w:rsidRPr="007E1BE4" w:rsidRDefault="007E1BE4">
      <w:pPr>
        <w:rPr>
          <w:rFonts w:ascii="HelveticaNeueCyr" w:hAnsi="HelveticaNeueCyr"/>
          <w:sz w:val="24"/>
          <w:szCs w:val="24"/>
        </w:rPr>
      </w:pPr>
      <w:r w:rsidRPr="007E1BE4">
        <w:rPr>
          <w:rFonts w:ascii="HelveticaNeueCyr" w:hAnsi="HelveticaNeueCyr"/>
          <w:sz w:val="24"/>
          <w:szCs w:val="24"/>
        </w:rPr>
        <w:t>+380991031122, +380992114505, +380713043644, +380713043622</w:t>
      </w:r>
    </w:p>
    <w:p w:rsidR="005633E7" w:rsidRPr="007E1BE4" w:rsidRDefault="007E1BE4">
      <w:pPr>
        <w:rPr>
          <w:rFonts w:ascii="HelveticaNeueCyr" w:hAnsi="HelveticaNeueCyr"/>
          <w:sz w:val="24"/>
          <w:szCs w:val="24"/>
        </w:rPr>
      </w:pPr>
      <w:hyperlink r:id="rId6" w:history="1">
        <w:r w:rsidRPr="007E1BE4">
          <w:rPr>
            <w:rStyle w:val="ac"/>
            <w:rFonts w:ascii="HelveticaNeueCyr" w:hAnsi="HelveticaNeueCyr"/>
            <w:sz w:val="24"/>
            <w:szCs w:val="24"/>
            <w:lang w:val="en-US"/>
          </w:rPr>
          <w:t>office</w:t>
        </w:r>
        <w:r w:rsidRPr="007E1BE4">
          <w:rPr>
            <w:rStyle w:val="ac"/>
            <w:rFonts w:ascii="HelveticaNeueCyr" w:hAnsi="HelveticaNeueCyr"/>
            <w:sz w:val="24"/>
            <w:szCs w:val="24"/>
          </w:rPr>
          <w:t>.ukvip@gmail.com</w:t>
        </w:r>
      </w:hyperlink>
    </w:p>
    <w:p w:rsidR="007E1BE4" w:rsidRPr="007E1BE4" w:rsidRDefault="007E1BE4">
      <w:pPr>
        <w:rPr>
          <w:rFonts w:ascii="HelveticaNeueCyr" w:hAnsi="HelveticaNeueCyr"/>
          <w:sz w:val="24"/>
          <w:szCs w:val="24"/>
        </w:rPr>
      </w:pPr>
      <w:r w:rsidRPr="007E1BE4">
        <w:rPr>
          <w:rFonts w:ascii="HelveticaNeueCyr" w:hAnsi="HelveticaNeueCyr"/>
          <w:sz w:val="24"/>
          <w:szCs w:val="24"/>
        </w:rPr>
        <w:t>адвокаты.</w:t>
      </w:r>
      <w:r w:rsidRPr="007E1BE4">
        <w:rPr>
          <w:rFonts w:ascii="HelveticaNeueCyr" w:hAnsi="HelveticaNeueCyr"/>
          <w:sz w:val="24"/>
          <w:szCs w:val="24"/>
          <w:lang w:val="en-US"/>
        </w:rPr>
        <w:t>dn</w:t>
      </w:r>
      <w:r w:rsidRPr="007E1BE4">
        <w:rPr>
          <w:rFonts w:ascii="HelveticaNeueCyr" w:hAnsi="HelveticaNeueCyr"/>
          <w:sz w:val="24"/>
          <w:szCs w:val="24"/>
        </w:rPr>
        <w:t>.</w:t>
      </w:r>
      <w:r w:rsidRPr="007E1BE4">
        <w:rPr>
          <w:rFonts w:ascii="HelveticaNeueCyr" w:hAnsi="HelveticaNeueCyr"/>
          <w:sz w:val="24"/>
          <w:szCs w:val="24"/>
          <w:lang w:val="en-US"/>
        </w:rPr>
        <w:t>ua</w:t>
      </w:r>
    </w:p>
    <w:p w:rsidR="007E1BE4" w:rsidRDefault="007E1BE4">
      <w:pPr>
        <w:rPr>
          <w:rFonts w:ascii="HelveticaNeueCyr" w:hAnsi="HelveticaNeueCyr"/>
          <w:sz w:val="24"/>
          <w:szCs w:val="24"/>
        </w:rPr>
      </w:pPr>
      <w:r w:rsidRPr="007E1BE4">
        <w:rPr>
          <w:rFonts w:ascii="HelveticaNeueCyr" w:hAnsi="HelveticaNeueCyr"/>
          <w:sz w:val="24"/>
          <w:szCs w:val="24"/>
        </w:rPr>
        <w:t>адвокат-донецк.</w:t>
      </w:r>
      <w:r w:rsidRPr="007E1BE4">
        <w:rPr>
          <w:rFonts w:ascii="HelveticaNeueCyr" w:hAnsi="HelveticaNeueCyr"/>
          <w:sz w:val="24"/>
          <w:szCs w:val="24"/>
          <w:lang w:val="en-US"/>
        </w:rPr>
        <w:t>com</w:t>
      </w:r>
      <w:r w:rsidRPr="007E1BE4">
        <w:rPr>
          <w:rFonts w:ascii="HelveticaNeueCyr" w:hAnsi="HelveticaNeueCyr"/>
          <w:sz w:val="24"/>
          <w:szCs w:val="24"/>
        </w:rPr>
        <w:t xml:space="preserve"> </w:t>
      </w:r>
    </w:p>
    <w:p w:rsidR="007E1BE4" w:rsidRDefault="007E1BE4">
      <w:pPr>
        <w:rPr>
          <w:rFonts w:ascii="HelveticaNeueCyr" w:hAnsi="HelveticaNeueCyr"/>
          <w:sz w:val="24"/>
          <w:szCs w:val="24"/>
        </w:rPr>
      </w:pPr>
    </w:p>
    <w:p w:rsidR="007E1BE4" w:rsidRPr="007E1BE4" w:rsidRDefault="00BF74B0">
      <w:pPr>
        <w:rPr>
          <w:rFonts w:ascii="HelveticaNeueCyr" w:hAnsi="HelveticaNeueCyr"/>
          <w:sz w:val="24"/>
          <w:szCs w:val="24"/>
        </w:rPr>
      </w:pPr>
      <w:bookmarkStart w:id="0" w:name="_GoBack"/>
      <w:r>
        <w:rPr>
          <w:rFonts w:ascii="HelveticaNeueCyr" w:hAnsi="HelveticaNeueCyr"/>
          <w:noProof/>
          <w:sz w:val="24"/>
          <w:szCs w:val="24"/>
          <w:lang w:eastAsia="ru-RU"/>
        </w:rPr>
        <w:drawing>
          <wp:inline distT="0" distB="0" distL="0" distR="0">
            <wp:extent cx="6162675" cy="3476625"/>
            <wp:effectExtent l="0" t="0" r="0" b="0"/>
            <wp:docPr id="2" name="Рисунок 2" descr="C:\Users\111\Google Диск\библиотека ЮК\Реклама\2017\визитки 2017\полиграф визитка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Google Диск\библиотека ЮК\Реклама\2017\визитки 2017\полиграф визитка 2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1BE4" w:rsidRPr="007E1BE4">
      <w:pgSz w:w="11906" w:h="16838"/>
      <w:pgMar w:top="1134" w:right="850" w:bottom="1134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Cyr">
    <w:altName w:val="Arial Narrow"/>
    <w:panose1 w:val="02000503040000020004"/>
    <w:charset w:val="CC"/>
    <w:family w:val="modern"/>
    <w:notTrueType/>
    <w:pitch w:val="variable"/>
    <w:sig w:usb0="8000020B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4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24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139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14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9"/>
    <w:multiLevelType w:val="singleLevel"/>
    <w:tmpl w:val="00000009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D8"/>
    <w:rsid w:val="00237BD8"/>
    <w:rsid w:val="00517F7C"/>
    <w:rsid w:val="005633E7"/>
    <w:rsid w:val="0065398C"/>
    <w:rsid w:val="007E1BE4"/>
    <w:rsid w:val="00933A06"/>
    <w:rsid w:val="00BF74B0"/>
    <w:rsid w:val="00EE1C75"/>
    <w:rsid w:val="00F1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E02FB6"/>
  <w15:chartTrackingRefBased/>
  <w15:docId w15:val="{E04FE80B-2736-4F85-BDD7-27D167C1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St1z0">
    <w:name w:val="WW8NumSt1z0"/>
    <w:rPr>
      <w:rFonts w:ascii="Times New Roman" w:hAnsi="Times New Roman" w:cs="Times New Roman" w:hint="default"/>
    </w:rPr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WW8NumSt6z0">
    <w:name w:val="WW8NumSt6z0"/>
    <w:rPr>
      <w:rFonts w:ascii="Times New Roman" w:hAnsi="Times New Roman" w:cs="Times New Roman" w:hint="default"/>
    </w:rPr>
  </w:style>
  <w:style w:type="character" w:customStyle="1" w:styleId="WW8NumSt7z0">
    <w:name w:val="WW8NumSt7z0"/>
    <w:rPr>
      <w:rFonts w:ascii="Times New Roman" w:hAnsi="Times New Roman" w:cs="Times New Roman" w:hint="default"/>
    </w:rPr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1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color w:val="000000"/>
      <w:sz w:val="16"/>
      <w:szCs w:val="16"/>
    </w:rPr>
  </w:style>
  <w:style w:type="character" w:customStyle="1" w:styleId="a3">
    <w:name w:val="Текст выноски Знак"/>
    <w:rPr>
      <w:rFonts w:ascii="Segoe UI" w:eastAsia="Times New Roman" w:hAnsi="Segoe UI" w:cs="Segoe UI"/>
      <w:sz w:val="18"/>
      <w:szCs w:val="18"/>
    </w:rPr>
  </w:style>
  <w:style w:type="paragraph" w:customStyle="1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Style2">
    <w:name w:val="Style2"/>
    <w:basedOn w:val="a"/>
    <w:pPr>
      <w:widowControl w:val="0"/>
      <w:autoSpaceDE w:val="0"/>
      <w:spacing w:line="26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spacing w:line="283" w:lineRule="exact"/>
      <w:ind w:firstLine="562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274" w:lineRule="exact"/>
      <w:ind w:hanging="274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278" w:lineRule="exact"/>
      <w:ind w:firstLine="566"/>
      <w:jc w:val="both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jc w:val="both"/>
    </w:pPr>
    <w:rPr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</w:pPr>
    <w:rPr>
      <w:sz w:val="24"/>
      <w:szCs w:val="24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9">
    <w:name w:val="Содержимое врезки"/>
    <w:basedOn w:val="a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styleId="ac">
    <w:name w:val="Hyperlink"/>
    <w:basedOn w:val="a0"/>
    <w:uiPriority w:val="99"/>
    <w:unhideWhenUsed/>
    <w:rsid w:val="007E1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ukvi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Адвокат по налогам ЮК ВиП</Manager>
  <Company>Юридический Воробьёв и партнеры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Обязательство по безопасности ЭЦП скачать</dc:title>
  <dc:subject>Порядок получения ЭЦП скачать</dc:subject>
  <dc:creator>Юридическая компания Воробьёв и партнеры; Донецк; ДНР</dc:creator>
  <cp:keywords>инструкция; скачать; МДС; ДНР; Донецк; безопасность; электронная подпись; ЭЦП; юрист</cp:keywords>
  <dc:description/>
  <cp:lastModifiedBy>Юридическая компания Воробьев и партнеры</cp:lastModifiedBy>
  <cp:revision>1</cp:revision>
  <cp:lastPrinted>2015-12-21T06:17:00Z</cp:lastPrinted>
  <dcterms:created xsi:type="dcterms:W3CDTF">2017-10-19T13:43:00Z</dcterms:created>
  <dcterms:modified xsi:type="dcterms:W3CDTF">2017-10-19T13:43:00Z</dcterms:modified>
  <cp:category>Электронная подпись; скачать; налоги; получить; инстукция; порядок</cp:category>
  <cp:contentStatus>Инструкция ЭЦП</cp:contentStatus>
  <dc:language>Русский</dc:language>
  <cp:version>1</cp:version>
</cp:coreProperties>
</file>